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3D2E7" w14:textId="68ED7E16" w:rsidR="006D7262" w:rsidRPr="006D7262" w:rsidRDefault="006D7262" w:rsidP="00DA6095">
      <w:pPr>
        <w:jc w:val="both"/>
        <w:rPr>
          <w:b/>
          <w:bCs/>
          <w:lang w:val="en-US"/>
        </w:rPr>
      </w:pPr>
      <w:r w:rsidRPr="006D7262">
        <w:rPr>
          <w:b/>
          <w:bCs/>
          <w:lang w:val="en-US"/>
        </w:rPr>
        <w:t xml:space="preserve">Exhibition and dialogue in London: </w:t>
      </w:r>
      <w:r w:rsidRPr="006D7262">
        <w:rPr>
          <w:b/>
          <w:bCs/>
          <w:i/>
          <w:iCs/>
          <w:lang w:val="en-US"/>
        </w:rPr>
        <w:t>“Art says things that history cannot" </w:t>
      </w:r>
    </w:p>
    <w:p w14:paraId="7A04789C" w14:textId="77777777" w:rsidR="006D7262" w:rsidRPr="006D7262" w:rsidRDefault="006D7262" w:rsidP="00DA6095">
      <w:pPr>
        <w:jc w:val="both"/>
        <w:rPr>
          <w:lang w:val="en-US"/>
        </w:rPr>
      </w:pPr>
    </w:p>
    <w:p w14:paraId="29C17D89" w14:textId="595C6C0F" w:rsidR="008966F4" w:rsidRDefault="00113F6E" w:rsidP="00DA6095">
      <w:pPr>
        <w:jc w:val="both"/>
      </w:pPr>
      <w:r w:rsidRPr="00FC4ECF">
        <w:drawing>
          <wp:inline distT="0" distB="0" distL="0" distR="0" wp14:anchorId="3E32F8C9" wp14:editId="76CAA188">
            <wp:extent cx="5731510" cy="2665095"/>
            <wp:effectExtent l="0" t="0" r="2540" b="1905"/>
            <wp:docPr id="8748559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65095"/>
                    </a:xfrm>
                    <a:prstGeom prst="rect">
                      <a:avLst/>
                    </a:prstGeom>
                    <a:noFill/>
                    <a:ln>
                      <a:noFill/>
                    </a:ln>
                  </pic:spPr>
                </pic:pic>
              </a:graphicData>
            </a:graphic>
          </wp:inline>
        </w:drawing>
      </w:r>
    </w:p>
    <w:p w14:paraId="327F07BA" w14:textId="77777777" w:rsidR="00FC4ECF" w:rsidRDefault="00FC4ECF" w:rsidP="00DA6095">
      <w:pPr>
        <w:jc w:val="both"/>
      </w:pPr>
    </w:p>
    <w:p w14:paraId="30FD28CD" w14:textId="77777777" w:rsidR="00FC4ECF" w:rsidRPr="00FC4ECF" w:rsidRDefault="00FC4ECF" w:rsidP="00FC4ECF">
      <w:pPr>
        <w:jc w:val="both"/>
      </w:pPr>
      <w:r w:rsidRPr="00FC4ECF">
        <w:t>London, 18</w:t>
      </w:r>
      <w:r w:rsidRPr="00FC4ECF">
        <w:rPr>
          <w:vertAlign w:val="superscript"/>
        </w:rPr>
        <w:t>th</w:t>
      </w:r>
      <w:r w:rsidRPr="00FC4ECF">
        <w:t> </w:t>
      </w:r>
      <w:proofErr w:type="spellStart"/>
      <w:r w:rsidRPr="00FC4ECF">
        <w:t>of</w:t>
      </w:r>
      <w:proofErr w:type="spellEnd"/>
      <w:r w:rsidRPr="00FC4ECF">
        <w:t xml:space="preserve"> </w:t>
      </w:r>
      <w:proofErr w:type="spellStart"/>
      <w:r w:rsidRPr="00FC4ECF">
        <w:t>march</w:t>
      </w:r>
      <w:proofErr w:type="spellEnd"/>
      <w:r w:rsidRPr="00FC4ECF">
        <w:t xml:space="preserve"> 2026</w:t>
      </w:r>
    </w:p>
    <w:p w14:paraId="7B130AA6" w14:textId="77777777" w:rsidR="00FC4ECF" w:rsidRPr="00FC4ECF" w:rsidRDefault="00FC4ECF" w:rsidP="00FC4ECF">
      <w:pPr>
        <w:jc w:val="both"/>
      </w:pPr>
      <w:r w:rsidRPr="00FC4ECF">
        <w:t> </w:t>
      </w:r>
    </w:p>
    <w:p w14:paraId="248C7BC4" w14:textId="0B2CC6C6" w:rsidR="00FC4ECF" w:rsidRPr="00FC4ECF" w:rsidRDefault="00FC4ECF" w:rsidP="00FC4ECF">
      <w:pPr>
        <w:jc w:val="both"/>
      </w:pPr>
      <w:r w:rsidRPr="00FC4ECF">
        <w:t> </w:t>
      </w:r>
      <w:r w:rsidRPr="00FC4ECF">
        <w:t> </w:t>
      </w:r>
      <w:r w:rsidRPr="00FC4ECF">
        <w:t> </w:t>
      </w:r>
      <w:r w:rsidRPr="00FC4ECF">
        <w:t> </w:t>
      </w:r>
      <w:r w:rsidRPr="00FC4ECF">
        <w:t> </w:t>
      </w:r>
      <w:r w:rsidRPr="00FC4ECF">
        <w:t> </w:t>
      </w:r>
      <w:r w:rsidRPr="00FC4ECF">
        <w:t> </w:t>
      </w:r>
      <w:r w:rsidRPr="00FC4ECF">
        <w:t> </w:t>
      </w:r>
    </w:p>
    <w:p w14:paraId="3C74D29D" w14:textId="12FBCE74" w:rsidR="00FC4ECF" w:rsidRDefault="00FC4ECF" w:rsidP="00FC4ECF">
      <w:pPr>
        <w:jc w:val="both"/>
        <w:rPr>
          <w:lang w:val="en-US"/>
        </w:rPr>
      </w:pPr>
      <w:r w:rsidRPr="00FC4ECF">
        <w:rPr>
          <w:b/>
          <w:bCs/>
          <w:lang w:val="en-US"/>
        </w:rPr>
        <w:t>The Embassy of Colombia in the United Kingdom</w:t>
      </w:r>
      <w:r w:rsidRPr="00FC4ECF">
        <w:rPr>
          <w:lang w:val="en-US"/>
        </w:rPr>
        <w:t>, in partnership with Amalgama, has been fully committed to the retrospective currently being held at the Barbican on the work and trajectory of Maestra Beatriz González. This commitment has not been limited solely to its </w:t>
      </w:r>
      <w:r w:rsidRPr="00FC4ECF">
        <w:rPr>
          <w:b/>
          <w:bCs/>
          <w:lang w:val="en-US"/>
        </w:rPr>
        <w:t>public engagement; </w:t>
      </w:r>
      <w:r w:rsidRPr="00FC4ECF">
        <w:rPr>
          <w:lang w:val="en-US"/>
        </w:rPr>
        <w:t>it</w:t>
      </w:r>
      <w:r w:rsidRPr="00FC4ECF">
        <w:rPr>
          <w:b/>
          <w:bCs/>
          <w:lang w:val="en-US"/>
        </w:rPr>
        <w:t> </w:t>
      </w:r>
      <w:r w:rsidRPr="00FC4ECF">
        <w:rPr>
          <w:lang w:val="en-US"/>
        </w:rPr>
        <w:t xml:space="preserve">has </w:t>
      </w:r>
      <w:r w:rsidR="00D35B32" w:rsidRPr="00FC4ECF">
        <w:rPr>
          <w:lang w:val="en-US"/>
        </w:rPr>
        <w:t>been decided</w:t>
      </w:r>
      <w:r w:rsidRPr="00FC4ECF">
        <w:rPr>
          <w:lang w:val="en-US"/>
        </w:rPr>
        <w:t xml:space="preserve"> to have an active participation, proposing this conversation.</w:t>
      </w:r>
    </w:p>
    <w:p w14:paraId="664CA7AD" w14:textId="77777777" w:rsidR="00113F6E" w:rsidRPr="00FC4ECF" w:rsidRDefault="00113F6E" w:rsidP="00FC4ECF">
      <w:pPr>
        <w:jc w:val="both"/>
        <w:rPr>
          <w:lang w:val="en-US"/>
        </w:rPr>
      </w:pPr>
    </w:p>
    <w:p w14:paraId="68C0A4A7" w14:textId="6FD12171" w:rsidR="00FC4ECF" w:rsidRPr="00FC4ECF" w:rsidRDefault="00FC4ECF" w:rsidP="00FC4ECF">
      <w:pPr>
        <w:jc w:val="both"/>
        <w:rPr>
          <w:lang w:val="en-US"/>
        </w:rPr>
      </w:pPr>
      <w:r w:rsidRPr="00FC4ECF">
        <w:rPr>
          <w:b/>
          <w:bCs/>
          <w:i/>
          <w:iCs/>
          <w:lang w:val="en-US"/>
        </w:rPr>
        <w:t>“Art Says Things That History Cannot</w:t>
      </w:r>
      <w:proofErr w:type="gramStart"/>
      <w:r w:rsidRPr="00FC4ECF">
        <w:rPr>
          <w:b/>
          <w:bCs/>
          <w:i/>
          <w:iCs/>
          <w:lang w:val="en-US"/>
        </w:rPr>
        <w:t>” ,</w:t>
      </w:r>
      <w:proofErr w:type="gramEnd"/>
      <w:r w:rsidRPr="00FC4ECF">
        <w:rPr>
          <w:lang w:val="en-US"/>
        </w:rPr>
        <w:t> w</w:t>
      </w:r>
      <w:r w:rsidR="00D35B32">
        <w:rPr>
          <w:lang w:val="en-US"/>
        </w:rPr>
        <w:t>as</w:t>
      </w:r>
      <w:r w:rsidRPr="00FC4ECF">
        <w:rPr>
          <w:lang w:val="en-US"/>
        </w:rPr>
        <w:t xml:space="preserve"> moderated by </w:t>
      </w:r>
      <w:r w:rsidRPr="00FC4ECF">
        <w:rPr>
          <w:b/>
          <w:bCs/>
          <w:lang w:val="en-US"/>
        </w:rPr>
        <w:t>Daniela Galán</w:t>
      </w:r>
      <w:r w:rsidRPr="00FC4ECF">
        <w:rPr>
          <w:lang w:val="en-US"/>
        </w:rPr>
        <w:t>, </w:t>
      </w:r>
      <w:r w:rsidRPr="00FC4ECF">
        <w:rPr>
          <w:b/>
          <w:bCs/>
          <w:lang w:val="en-US"/>
        </w:rPr>
        <w:t>founder of Amalgama Art and Amalgama Academy</w:t>
      </w:r>
      <w:r w:rsidRPr="00FC4ECF">
        <w:rPr>
          <w:lang w:val="en-US"/>
        </w:rPr>
        <w:t>, an international platform dedicated to the research, exhibition, and promotion of Latin American artists. Daniela is a lecturer with The Arts Society (UK) and has delivered talks at institutions such as Sotheby’s and Instituto Cervantes. She has over 20 years of research experience in art history and philosophy, with a particular focus on women artists from the region.</w:t>
      </w:r>
    </w:p>
    <w:p w14:paraId="41798FC8" w14:textId="70DF4680" w:rsidR="00FC4ECF" w:rsidRPr="00FC4ECF" w:rsidRDefault="00FC4ECF" w:rsidP="00FC4ECF">
      <w:pPr>
        <w:jc w:val="both"/>
      </w:pPr>
      <w:r w:rsidRPr="00FC4ECF">
        <w:lastRenderedPageBreak/>
        <w:drawing>
          <wp:inline distT="0" distB="0" distL="0" distR="0" wp14:anchorId="66670774" wp14:editId="628DB17F">
            <wp:extent cx="5731510" cy="4034790"/>
            <wp:effectExtent l="0" t="0" r="2540" b="3810"/>
            <wp:docPr id="19959590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34790"/>
                    </a:xfrm>
                    <a:prstGeom prst="rect">
                      <a:avLst/>
                    </a:prstGeom>
                    <a:noFill/>
                    <a:ln>
                      <a:noFill/>
                    </a:ln>
                  </pic:spPr>
                </pic:pic>
              </a:graphicData>
            </a:graphic>
          </wp:inline>
        </w:drawing>
      </w:r>
    </w:p>
    <w:p w14:paraId="716AFFB5" w14:textId="77777777" w:rsidR="00113F6E" w:rsidRDefault="00113F6E" w:rsidP="00FC4ECF">
      <w:pPr>
        <w:jc w:val="both"/>
        <w:rPr>
          <w:lang w:val="en-US"/>
        </w:rPr>
      </w:pPr>
    </w:p>
    <w:p w14:paraId="6F8DC1D2" w14:textId="449D6847" w:rsidR="00FC4ECF" w:rsidRPr="00FC4ECF" w:rsidRDefault="00FC4ECF" w:rsidP="00FC4ECF">
      <w:pPr>
        <w:jc w:val="both"/>
        <w:rPr>
          <w:lang w:val="en-US"/>
        </w:rPr>
      </w:pPr>
      <w:r w:rsidRPr="00FC4ECF">
        <w:rPr>
          <w:lang w:val="en-US"/>
        </w:rPr>
        <w:t>She joined in conversation by </w:t>
      </w:r>
      <w:r w:rsidRPr="00FC4ECF">
        <w:rPr>
          <w:b/>
          <w:bCs/>
          <w:lang w:val="en-US"/>
        </w:rPr>
        <w:t>Gabriela Salgado</w:t>
      </w:r>
      <w:r w:rsidRPr="00FC4ECF">
        <w:rPr>
          <w:lang w:val="en-US"/>
        </w:rPr>
        <w:t>, who served as </w:t>
      </w:r>
      <w:r w:rsidRPr="00FC4ECF">
        <w:rPr>
          <w:b/>
          <w:bCs/>
          <w:lang w:val="en-US"/>
        </w:rPr>
        <w:t xml:space="preserve">Artistic Director of </w:t>
      </w:r>
      <w:proofErr w:type="spellStart"/>
      <w:r w:rsidRPr="00FC4ECF">
        <w:rPr>
          <w:b/>
          <w:bCs/>
          <w:lang w:val="en-US"/>
        </w:rPr>
        <w:t>Te</w:t>
      </w:r>
      <w:proofErr w:type="spellEnd"/>
      <w:r w:rsidRPr="00FC4ECF">
        <w:rPr>
          <w:b/>
          <w:bCs/>
          <w:lang w:val="en-US"/>
        </w:rPr>
        <w:t xml:space="preserve"> Tuhi Contemporary Art in New Zealand</w:t>
      </w:r>
      <w:r w:rsidRPr="00FC4ECF">
        <w:rPr>
          <w:lang w:val="en-US"/>
        </w:rPr>
        <w:t xml:space="preserve"> (2017–2020), where she curated exhibitions of artists such as Raúl Ortega Ayala, Carlos Cruz-Diez, and Gayle Chong Kwan, alongside shows by local artists. After working for six years at the University of Essex Collection of Latin American Art (UECLAA), she became Curator of Public </w:t>
      </w:r>
      <w:proofErr w:type="spellStart"/>
      <w:r w:rsidRPr="00FC4ECF">
        <w:rPr>
          <w:lang w:val="en-US"/>
        </w:rPr>
        <w:t>Programmes</w:t>
      </w:r>
      <w:proofErr w:type="spellEnd"/>
      <w:r w:rsidRPr="00FC4ECF">
        <w:rPr>
          <w:lang w:val="en-US"/>
        </w:rPr>
        <w:t xml:space="preserve"> at Tate Modern (2006–2011). In 2009, she curated the 2nd Thessaloniki Biennale (Greece), and in 2013, </w:t>
      </w:r>
      <w:r w:rsidRPr="00FC4ECF">
        <w:rPr>
          <w:i/>
          <w:iCs/>
          <w:lang w:val="en-US"/>
        </w:rPr>
        <w:t xml:space="preserve">La </w:t>
      </w:r>
      <w:proofErr w:type="spellStart"/>
      <w:r w:rsidRPr="00FC4ECF">
        <w:rPr>
          <w:i/>
          <w:iCs/>
          <w:lang w:val="en-US"/>
        </w:rPr>
        <w:t>Otra</w:t>
      </w:r>
      <w:proofErr w:type="spellEnd"/>
      <w:r w:rsidRPr="00FC4ECF">
        <w:rPr>
          <w:i/>
          <w:iCs/>
          <w:lang w:val="en-US"/>
        </w:rPr>
        <w:t xml:space="preserve"> </w:t>
      </w:r>
      <w:proofErr w:type="spellStart"/>
      <w:r w:rsidRPr="00FC4ECF">
        <w:rPr>
          <w:i/>
          <w:iCs/>
          <w:lang w:val="en-US"/>
        </w:rPr>
        <w:t>Bienal</w:t>
      </w:r>
      <w:proofErr w:type="spellEnd"/>
      <w:r w:rsidRPr="00FC4ECF">
        <w:rPr>
          <w:lang w:val="en-US"/>
        </w:rPr>
        <w:t> in Bogotá.</w:t>
      </w:r>
    </w:p>
    <w:p w14:paraId="2C519126" w14:textId="481F30AD" w:rsidR="00FC4ECF" w:rsidRPr="00FC4ECF" w:rsidRDefault="00FC4ECF" w:rsidP="00FC4ECF">
      <w:pPr>
        <w:jc w:val="both"/>
      </w:pPr>
      <w:r w:rsidRPr="00FC4ECF">
        <w:lastRenderedPageBreak/>
        <w:drawing>
          <wp:inline distT="0" distB="0" distL="0" distR="0" wp14:anchorId="1995D12C" wp14:editId="2A102319">
            <wp:extent cx="5731510" cy="6485890"/>
            <wp:effectExtent l="0" t="0" r="2540" b="0"/>
            <wp:docPr id="16321539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485890"/>
                    </a:xfrm>
                    <a:prstGeom prst="rect">
                      <a:avLst/>
                    </a:prstGeom>
                    <a:noFill/>
                    <a:ln>
                      <a:noFill/>
                    </a:ln>
                  </pic:spPr>
                </pic:pic>
              </a:graphicData>
            </a:graphic>
          </wp:inline>
        </w:drawing>
      </w:r>
    </w:p>
    <w:p w14:paraId="503A1C05" w14:textId="77777777" w:rsidR="00FC4ECF" w:rsidRPr="00FC4ECF" w:rsidRDefault="00FC4ECF" w:rsidP="00FC4ECF">
      <w:pPr>
        <w:jc w:val="both"/>
        <w:rPr>
          <w:lang w:val="en-US"/>
        </w:rPr>
      </w:pPr>
      <w:r w:rsidRPr="00FC4ECF">
        <w:rPr>
          <w:lang w:val="en-US"/>
        </w:rPr>
        <w:t>Gabriela Salgado. Photo: Emma Blau</w:t>
      </w:r>
    </w:p>
    <w:p w14:paraId="3711C071" w14:textId="77777777" w:rsidR="00113F6E" w:rsidRDefault="00113F6E" w:rsidP="00FC4ECF">
      <w:pPr>
        <w:jc w:val="both"/>
        <w:rPr>
          <w:lang w:val="en-US"/>
        </w:rPr>
      </w:pPr>
    </w:p>
    <w:p w14:paraId="6051D504" w14:textId="339D2ACC" w:rsidR="00FC4ECF" w:rsidRPr="00FC4ECF" w:rsidRDefault="00FC4ECF" w:rsidP="00FC4ECF">
      <w:pPr>
        <w:jc w:val="both"/>
        <w:rPr>
          <w:lang w:val="en-US"/>
        </w:rPr>
      </w:pPr>
      <w:r w:rsidRPr="00FC4ECF">
        <w:rPr>
          <w:lang w:val="en-US"/>
        </w:rPr>
        <w:t>The conversation also feature</w:t>
      </w:r>
      <w:r w:rsidR="00D35B32">
        <w:rPr>
          <w:lang w:val="en-US"/>
        </w:rPr>
        <w:t>d</w:t>
      </w:r>
      <w:r w:rsidRPr="00FC4ECF">
        <w:rPr>
          <w:lang w:val="en-US"/>
        </w:rPr>
        <w:t> </w:t>
      </w:r>
      <w:r w:rsidRPr="00FC4ECF">
        <w:rPr>
          <w:b/>
          <w:bCs/>
          <w:lang w:val="en-US"/>
        </w:rPr>
        <w:t>Maya Jaggi</w:t>
      </w:r>
      <w:r w:rsidRPr="00FC4ECF">
        <w:rPr>
          <w:lang w:val="en-US"/>
        </w:rPr>
        <w:t>,</w:t>
      </w:r>
      <w:r w:rsidRPr="00FC4ECF">
        <w:rPr>
          <w:b/>
          <w:bCs/>
          <w:lang w:val="en-US"/>
        </w:rPr>
        <w:t> a British writer</w:t>
      </w:r>
      <w:r w:rsidRPr="00FC4ECF">
        <w:rPr>
          <w:lang w:val="en-US"/>
        </w:rPr>
        <w:t>, </w:t>
      </w:r>
      <w:r w:rsidRPr="00FC4ECF">
        <w:rPr>
          <w:b/>
          <w:bCs/>
          <w:lang w:val="en-US"/>
        </w:rPr>
        <w:t>literary critic, editor, and cultural journalist.</w:t>
      </w:r>
      <w:r w:rsidRPr="00FC4ECF">
        <w:rPr>
          <w:lang w:val="en-US"/>
        </w:rPr>
        <w:t> She was elected a Fellow of the Royal Society of Literature and holds an honorary doctorate (2012). She has contributed to publications including </w:t>
      </w:r>
      <w:r w:rsidRPr="00FC4ECF">
        <w:rPr>
          <w:i/>
          <w:iCs/>
          <w:lang w:val="en-US"/>
        </w:rPr>
        <w:t>The Guardian</w:t>
      </w:r>
      <w:r w:rsidRPr="00FC4ECF">
        <w:rPr>
          <w:lang w:val="en-US"/>
        </w:rPr>
        <w:t>, </w:t>
      </w:r>
      <w:r w:rsidRPr="00FC4ECF">
        <w:rPr>
          <w:i/>
          <w:iCs/>
          <w:lang w:val="en-US"/>
        </w:rPr>
        <w:t>Financial Times</w:t>
      </w:r>
      <w:r w:rsidRPr="00FC4ECF">
        <w:rPr>
          <w:lang w:val="en-US"/>
        </w:rPr>
        <w:t>, </w:t>
      </w:r>
      <w:r w:rsidRPr="00FC4ECF">
        <w:rPr>
          <w:i/>
          <w:iCs/>
          <w:lang w:val="en-US"/>
        </w:rPr>
        <w:t>The Independent</w:t>
      </w:r>
      <w:r w:rsidRPr="00FC4ECF">
        <w:rPr>
          <w:lang w:val="en-US"/>
        </w:rPr>
        <w:t>, </w:t>
      </w:r>
      <w:r w:rsidRPr="00FC4ECF">
        <w:rPr>
          <w:i/>
          <w:iCs/>
          <w:lang w:val="en-US"/>
        </w:rPr>
        <w:t>The Literary Review</w:t>
      </w:r>
      <w:r w:rsidRPr="00FC4ECF">
        <w:rPr>
          <w:lang w:val="en-US"/>
        </w:rPr>
        <w:t>, </w:t>
      </w:r>
      <w:r w:rsidRPr="00FC4ECF">
        <w:rPr>
          <w:i/>
          <w:iCs/>
          <w:lang w:val="en-US"/>
        </w:rPr>
        <w:t>Times Literary Supplement</w:t>
      </w:r>
      <w:r w:rsidRPr="00FC4ECF">
        <w:rPr>
          <w:lang w:val="en-US"/>
        </w:rPr>
        <w:t>, </w:t>
      </w:r>
      <w:r w:rsidRPr="00FC4ECF">
        <w:rPr>
          <w:i/>
          <w:iCs/>
          <w:lang w:val="en-US"/>
        </w:rPr>
        <w:t>The New York Review of Books</w:t>
      </w:r>
      <w:r w:rsidRPr="00FC4ECF">
        <w:rPr>
          <w:lang w:val="en-US"/>
        </w:rPr>
        <w:t>, </w:t>
      </w:r>
      <w:r w:rsidRPr="00FC4ECF">
        <w:rPr>
          <w:i/>
          <w:iCs/>
          <w:lang w:val="en-US"/>
        </w:rPr>
        <w:t>The Wall Street Journal</w:t>
      </w:r>
      <w:r w:rsidRPr="00FC4ECF">
        <w:rPr>
          <w:lang w:val="en-US"/>
        </w:rPr>
        <w:t>, </w:t>
      </w:r>
      <w:r w:rsidRPr="00FC4ECF">
        <w:rPr>
          <w:i/>
          <w:iCs/>
          <w:lang w:val="en-US"/>
        </w:rPr>
        <w:t>The Economist</w:t>
      </w:r>
      <w:r w:rsidRPr="00FC4ECF">
        <w:rPr>
          <w:lang w:val="en-US"/>
        </w:rPr>
        <w:t>, </w:t>
      </w:r>
      <w:r w:rsidRPr="00FC4ECF">
        <w:rPr>
          <w:i/>
          <w:iCs/>
          <w:lang w:val="en-US"/>
        </w:rPr>
        <w:t>New Statesman</w:t>
      </w:r>
      <w:r w:rsidRPr="00FC4ECF">
        <w:rPr>
          <w:lang w:val="en-US"/>
        </w:rPr>
        <w:t>, </w:t>
      </w:r>
      <w:proofErr w:type="spellStart"/>
      <w:r w:rsidRPr="00FC4ECF">
        <w:rPr>
          <w:i/>
          <w:iCs/>
          <w:lang w:val="en-US"/>
        </w:rPr>
        <w:t>Wasafiri</w:t>
      </w:r>
      <w:proofErr w:type="spellEnd"/>
      <w:r w:rsidRPr="00FC4ECF">
        <w:rPr>
          <w:lang w:val="en-US"/>
        </w:rPr>
        <w:t>, </w:t>
      </w:r>
      <w:r w:rsidRPr="00FC4ECF">
        <w:rPr>
          <w:i/>
          <w:iCs/>
          <w:lang w:val="en-US"/>
        </w:rPr>
        <w:t>Index on Censorship</w:t>
      </w:r>
      <w:r w:rsidRPr="00FC4ECF">
        <w:rPr>
          <w:lang w:val="en-US"/>
        </w:rPr>
        <w:t>, and </w:t>
      </w:r>
      <w:r w:rsidRPr="00FC4ECF">
        <w:rPr>
          <w:i/>
          <w:iCs/>
          <w:lang w:val="en-US"/>
        </w:rPr>
        <w:t>Newsweek</w:t>
      </w:r>
      <w:r w:rsidRPr="00FC4ECF">
        <w:rPr>
          <w:lang w:val="en-US"/>
        </w:rPr>
        <w:t xml:space="preserve">. She is particularly </w:t>
      </w:r>
      <w:r w:rsidR="00D35B32" w:rsidRPr="00FC4ECF">
        <w:rPr>
          <w:lang w:val="en-US"/>
        </w:rPr>
        <w:t>recognized</w:t>
      </w:r>
      <w:r w:rsidRPr="00FC4ECF">
        <w:rPr>
          <w:lang w:val="en-US"/>
        </w:rPr>
        <w:t xml:space="preserve"> for her profiles of writers, artists, filmmakers, and other cultural figures.</w:t>
      </w:r>
    </w:p>
    <w:p w14:paraId="3E65D531" w14:textId="59E46CBB" w:rsidR="00FC4ECF" w:rsidRPr="00FC4ECF" w:rsidRDefault="00FC4ECF" w:rsidP="00FC4ECF">
      <w:pPr>
        <w:jc w:val="both"/>
      </w:pPr>
      <w:r w:rsidRPr="00FC4ECF">
        <w:lastRenderedPageBreak/>
        <w:drawing>
          <wp:inline distT="0" distB="0" distL="0" distR="0" wp14:anchorId="23864B45" wp14:editId="4F5A6513">
            <wp:extent cx="5731510" cy="6179820"/>
            <wp:effectExtent l="0" t="0" r="2540" b="0"/>
            <wp:docPr id="6063908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179820"/>
                    </a:xfrm>
                    <a:prstGeom prst="rect">
                      <a:avLst/>
                    </a:prstGeom>
                    <a:noFill/>
                    <a:ln>
                      <a:noFill/>
                    </a:ln>
                  </pic:spPr>
                </pic:pic>
              </a:graphicData>
            </a:graphic>
          </wp:inline>
        </w:drawing>
      </w:r>
    </w:p>
    <w:p w14:paraId="63B0915D" w14:textId="77777777" w:rsidR="00FC4ECF" w:rsidRPr="00FC4ECF" w:rsidRDefault="00FC4ECF" w:rsidP="00FC4ECF">
      <w:pPr>
        <w:jc w:val="both"/>
      </w:pPr>
      <w:r w:rsidRPr="00FC4ECF">
        <w:t xml:space="preserve">Maya Jaggi, </w:t>
      </w:r>
      <w:proofErr w:type="spellStart"/>
      <w:r w:rsidRPr="00FC4ECF">
        <w:t>Photo</w:t>
      </w:r>
      <w:proofErr w:type="spellEnd"/>
      <w:r w:rsidRPr="00FC4ECF">
        <w:t>: Ale Di Padova/EBRD</w:t>
      </w:r>
    </w:p>
    <w:p w14:paraId="781887BB" w14:textId="77777777" w:rsidR="00113F6E" w:rsidRDefault="00113F6E" w:rsidP="00FC4ECF">
      <w:pPr>
        <w:jc w:val="both"/>
        <w:rPr>
          <w:lang w:val="en-US"/>
        </w:rPr>
      </w:pPr>
    </w:p>
    <w:p w14:paraId="07C59174" w14:textId="525D639E" w:rsidR="00FC4ECF" w:rsidRPr="00FC4ECF" w:rsidRDefault="00FC4ECF" w:rsidP="00FC4ECF">
      <w:pPr>
        <w:jc w:val="both"/>
        <w:rPr>
          <w:lang w:val="en-US"/>
        </w:rPr>
      </w:pPr>
      <w:r w:rsidRPr="00FC4ECF">
        <w:rPr>
          <w:lang w:val="en-US"/>
        </w:rPr>
        <w:t>The panel also include</w:t>
      </w:r>
      <w:r w:rsidR="00D35B32">
        <w:rPr>
          <w:lang w:val="en-US"/>
        </w:rPr>
        <w:t>d</w:t>
      </w:r>
      <w:r w:rsidRPr="00FC4ECF">
        <w:rPr>
          <w:lang w:val="en-US"/>
        </w:rPr>
        <w:t> </w:t>
      </w:r>
      <w:r w:rsidRPr="00FC4ECF">
        <w:rPr>
          <w:b/>
          <w:bCs/>
          <w:lang w:val="en-US"/>
        </w:rPr>
        <w:t>Lotte Johnson, curator of the exhibition,</w:t>
      </w:r>
      <w:r w:rsidRPr="00FC4ECF">
        <w:rPr>
          <w:lang w:val="en-US"/>
        </w:rPr>
        <w:t> and art historian based in London. She has also served as lead curator of </w:t>
      </w:r>
      <w:r w:rsidRPr="00FC4ECF">
        <w:rPr>
          <w:i/>
          <w:iCs/>
          <w:lang w:val="en-US"/>
        </w:rPr>
        <w:t>Unravel: The Power and Politics of Textiles in Art</w:t>
      </w:r>
      <w:r w:rsidRPr="00FC4ECF">
        <w:rPr>
          <w:lang w:val="en-US"/>
        </w:rPr>
        <w:t xml:space="preserve"> (2024, co-curated with the </w:t>
      </w:r>
      <w:proofErr w:type="spellStart"/>
      <w:r w:rsidRPr="00FC4ECF">
        <w:rPr>
          <w:lang w:val="en-US"/>
        </w:rPr>
        <w:t>Stedelijk</w:t>
      </w:r>
      <w:proofErr w:type="spellEnd"/>
      <w:r w:rsidRPr="00FC4ECF">
        <w:rPr>
          <w:lang w:val="en-US"/>
        </w:rPr>
        <w:t xml:space="preserve"> Museum Amsterdam) and </w:t>
      </w:r>
      <w:r w:rsidRPr="00FC4ECF">
        <w:rPr>
          <w:i/>
          <w:iCs/>
          <w:lang w:val="en-US"/>
        </w:rPr>
        <w:t>Carolee Schneemann: Body Politics</w:t>
      </w:r>
      <w:r w:rsidRPr="00FC4ECF">
        <w:rPr>
          <w:lang w:val="en-US"/>
        </w:rPr>
        <w:t xml:space="preserve"> (2022), as well as solo commissions by artists such as Citra Sasmita (2025), Toyin </w:t>
      </w:r>
      <w:proofErr w:type="spellStart"/>
      <w:r w:rsidRPr="00FC4ECF">
        <w:rPr>
          <w:lang w:val="en-US"/>
        </w:rPr>
        <w:t>Ojih</w:t>
      </w:r>
      <w:proofErr w:type="spellEnd"/>
      <w:r w:rsidRPr="00FC4ECF">
        <w:rPr>
          <w:lang w:val="en-US"/>
        </w:rPr>
        <w:t xml:space="preserve"> Odutola (2020), SERAFINE1369 (2019), </w:t>
      </w:r>
      <w:proofErr w:type="spellStart"/>
      <w:r w:rsidRPr="00FC4ECF">
        <w:rPr>
          <w:lang w:val="en-US"/>
        </w:rPr>
        <w:t>Yto</w:t>
      </w:r>
      <w:proofErr w:type="spellEnd"/>
      <w:r w:rsidRPr="00FC4ECF">
        <w:rPr>
          <w:lang w:val="en-US"/>
        </w:rPr>
        <w:t xml:space="preserve"> </w:t>
      </w:r>
      <w:proofErr w:type="spellStart"/>
      <w:r w:rsidRPr="00FC4ECF">
        <w:rPr>
          <w:lang w:val="en-US"/>
        </w:rPr>
        <w:t>Barrada</w:t>
      </w:r>
      <w:proofErr w:type="spellEnd"/>
      <w:r w:rsidRPr="00FC4ECF">
        <w:rPr>
          <w:lang w:val="en-US"/>
        </w:rPr>
        <w:t xml:space="preserve"> (2018), and Bedwyr Williams (2016). She has contributed to other Barbican exhibitions and their accompanying publications, including </w:t>
      </w:r>
      <w:r w:rsidRPr="00FC4ECF">
        <w:rPr>
          <w:i/>
          <w:iCs/>
          <w:lang w:val="en-US"/>
        </w:rPr>
        <w:t>Into the Night: Cabarets and Clubs in Modern Art</w:t>
      </w:r>
      <w:r w:rsidRPr="00FC4ECF">
        <w:rPr>
          <w:lang w:val="en-US"/>
        </w:rPr>
        <w:t> (2019), </w:t>
      </w:r>
      <w:r w:rsidRPr="00FC4ECF">
        <w:rPr>
          <w:i/>
          <w:iCs/>
          <w:lang w:val="en-US"/>
        </w:rPr>
        <w:t>Basquiat: Boom for Real</w:t>
      </w:r>
      <w:r w:rsidRPr="00FC4ECF">
        <w:rPr>
          <w:lang w:val="en-US"/>
        </w:rPr>
        <w:t> (2017), and </w:t>
      </w:r>
      <w:r w:rsidRPr="00FC4ECF">
        <w:rPr>
          <w:i/>
          <w:iCs/>
          <w:lang w:val="en-US"/>
        </w:rPr>
        <w:t>The World of Charles and Ray Eames</w:t>
      </w:r>
      <w:r w:rsidRPr="00FC4ECF">
        <w:rPr>
          <w:lang w:val="en-US"/>
        </w:rPr>
        <w:t> (2015). She previously worked at the Museum of Modern Art in New York and regularly contributes to exhibition catalogues and publications, in addition to lecturing on modern and contemporary art.</w:t>
      </w:r>
    </w:p>
    <w:p w14:paraId="4169BB80" w14:textId="3D1594C7" w:rsidR="00FC4ECF" w:rsidRPr="00FC4ECF" w:rsidRDefault="00FC4ECF" w:rsidP="00FC4ECF">
      <w:pPr>
        <w:jc w:val="both"/>
      </w:pPr>
      <w:r w:rsidRPr="00FC4ECF">
        <w:lastRenderedPageBreak/>
        <w:drawing>
          <wp:inline distT="0" distB="0" distL="0" distR="0" wp14:anchorId="72025813" wp14:editId="16AE7044">
            <wp:extent cx="5731510" cy="5257165"/>
            <wp:effectExtent l="0" t="0" r="2540" b="635"/>
            <wp:docPr id="20650258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257165"/>
                    </a:xfrm>
                    <a:prstGeom prst="rect">
                      <a:avLst/>
                    </a:prstGeom>
                    <a:noFill/>
                    <a:ln>
                      <a:noFill/>
                    </a:ln>
                  </pic:spPr>
                </pic:pic>
              </a:graphicData>
            </a:graphic>
          </wp:inline>
        </w:drawing>
      </w:r>
    </w:p>
    <w:p w14:paraId="2DEA32FC" w14:textId="77777777" w:rsidR="00113F6E" w:rsidRDefault="00113F6E" w:rsidP="00FC4ECF">
      <w:pPr>
        <w:jc w:val="both"/>
        <w:rPr>
          <w:lang w:val="en-US"/>
        </w:rPr>
      </w:pPr>
    </w:p>
    <w:p w14:paraId="104AE55C" w14:textId="5DEE5A68" w:rsidR="00FC4ECF" w:rsidRPr="00FC4ECF" w:rsidRDefault="00FC4ECF" w:rsidP="00FC4ECF">
      <w:pPr>
        <w:jc w:val="both"/>
        <w:rPr>
          <w:lang w:val="en-US"/>
        </w:rPr>
      </w:pPr>
      <w:r w:rsidRPr="00FC4ECF">
        <w:rPr>
          <w:lang w:val="en-US"/>
        </w:rPr>
        <w:t>For the </w:t>
      </w:r>
      <w:r w:rsidRPr="00FC4ECF">
        <w:rPr>
          <w:b/>
          <w:bCs/>
          <w:lang w:val="en-US"/>
        </w:rPr>
        <w:t>Embassy of Colombia</w:t>
      </w:r>
      <w:r w:rsidRPr="00FC4ECF">
        <w:rPr>
          <w:lang w:val="en-US"/>
        </w:rPr>
        <w:t>, fostering this conversation, in the context of the </w:t>
      </w:r>
      <w:r w:rsidRPr="00FC4ECF">
        <w:rPr>
          <w:b/>
          <w:bCs/>
          <w:lang w:val="en-US"/>
        </w:rPr>
        <w:t>retrospective of Maestra Beatriz González</w:t>
      </w:r>
      <w:r w:rsidRPr="00FC4ECF">
        <w:rPr>
          <w:lang w:val="en-US"/>
        </w:rPr>
        <w:t>—one of the leading figures of Latin American art—constitute</w:t>
      </w:r>
      <w:r w:rsidR="00D35B32">
        <w:rPr>
          <w:lang w:val="en-US"/>
        </w:rPr>
        <w:t>d</w:t>
      </w:r>
      <w:r w:rsidRPr="00FC4ECF">
        <w:rPr>
          <w:lang w:val="en-US"/>
        </w:rPr>
        <w:t xml:space="preserve"> an opportunity to </w:t>
      </w:r>
      <w:r w:rsidRPr="00FC4ECF">
        <w:rPr>
          <w:b/>
          <w:bCs/>
          <w:lang w:val="en-US"/>
        </w:rPr>
        <w:t xml:space="preserve">continue opening dialogues on the historical contexts of our country: memory, conflict, the relationship with power, </w:t>
      </w:r>
      <w:proofErr w:type="gramStart"/>
      <w:r w:rsidRPr="00FC4ECF">
        <w:rPr>
          <w:b/>
          <w:bCs/>
          <w:lang w:val="en-US"/>
        </w:rPr>
        <w:t>and  the</w:t>
      </w:r>
      <w:proofErr w:type="gramEnd"/>
      <w:r w:rsidRPr="00FC4ECF">
        <w:rPr>
          <w:b/>
          <w:bCs/>
          <w:lang w:val="en-US"/>
        </w:rPr>
        <w:t xml:space="preserve"> simplification of complex realities in the media</w:t>
      </w:r>
      <w:r w:rsidRPr="00FC4ECF">
        <w:rPr>
          <w:lang w:val="en-US"/>
        </w:rPr>
        <w:t>.</w:t>
      </w:r>
    </w:p>
    <w:p w14:paraId="244DB551" w14:textId="550D2F34" w:rsidR="00FC4ECF" w:rsidRPr="00FC4ECF" w:rsidRDefault="00FC4ECF" w:rsidP="00FC4ECF">
      <w:pPr>
        <w:jc w:val="both"/>
      </w:pPr>
      <w:r w:rsidRPr="00FC4ECF">
        <w:lastRenderedPageBreak/>
        <w:drawing>
          <wp:inline distT="0" distB="0" distL="0" distR="0" wp14:anchorId="5EF9D214" wp14:editId="1F59DA02">
            <wp:extent cx="5731510" cy="7639685"/>
            <wp:effectExtent l="0" t="0" r="2540" b="0"/>
            <wp:docPr id="11363562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39685"/>
                    </a:xfrm>
                    <a:prstGeom prst="rect">
                      <a:avLst/>
                    </a:prstGeom>
                    <a:noFill/>
                    <a:ln>
                      <a:noFill/>
                    </a:ln>
                  </pic:spPr>
                </pic:pic>
              </a:graphicData>
            </a:graphic>
          </wp:inline>
        </w:drawing>
      </w:r>
    </w:p>
    <w:p w14:paraId="412D976C" w14:textId="77777777" w:rsidR="00113F6E" w:rsidRDefault="00113F6E" w:rsidP="00FC4ECF">
      <w:pPr>
        <w:jc w:val="both"/>
        <w:rPr>
          <w:lang w:val="en-US"/>
        </w:rPr>
      </w:pPr>
    </w:p>
    <w:p w14:paraId="5431B56C" w14:textId="6FEAB693" w:rsidR="00FC4ECF" w:rsidRDefault="00FC4ECF" w:rsidP="00FC4ECF">
      <w:pPr>
        <w:jc w:val="both"/>
        <w:rPr>
          <w:lang w:val="en-US"/>
        </w:rPr>
      </w:pPr>
      <w:r w:rsidRPr="00FC4ECF">
        <w:rPr>
          <w:lang w:val="en-US"/>
        </w:rPr>
        <w:t>For this reason, </w:t>
      </w:r>
      <w:r w:rsidRPr="00FC4ECF">
        <w:rPr>
          <w:b/>
          <w:bCs/>
          <w:i/>
          <w:iCs/>
          <w:lang w:val="en-US"/>
        </w:rPr>
        <w:t>“Art Says Things That History Cannot”</w:t>
      </w:r>
      <w:r w:rsidRPr="00FC4ECF">
        <w:rPr>
          <w:b/>
          <w:bCs/>
          <w:lang w:val="en-US"/>
        </w:rPr>
        <w:t> </w:t>
      </w:r>
      <w:r w:rsidR="00D35B32">
        <w:rPr>
          <w:lang w:val="en-US"/>
        </w:rPr>
        <w:t>wa</w:t>
      </w:r>
      <w:r w:rsidRPr="00FC4ECF">
        <w:rPr>
          <w:lang w:val="en-US"/>
        </w:rPr>
        <w:t>s conceived as a starting point for a broader reflection to which this Embassy invites its audiences. As</w:t>
      </w:r>
      <w:r w:rsidR="00D35B32">
        <w:rPr>
          <w:lang w:val="en-US"/>
        </w:rPr>
        <w:t xml:space="preserve"> the</w:t>
      </w:r>
      <w:r w:rsidRPr="00FC4ECF">
        <w:rPr>
          <w:lang w:val="en-US"/>
        </w:rPr>
        <w:t> </w:t>
      </w:r>
      <w:r w:rsidRPr="00FC4ECF">
        <w:rPr>
          <w:b/>
          <w:bCs/>
          <w:lang w:val="en-US"/>
        </w:rPr>
        <w:t>Ambassador</w:t>
      </w:r>
      <w:r w:rsidRPr="00FC4ECF">
        <w:rPr>
          <w:lang w:val="en-US"/>
        </w:rPr>
        <w:t> has noted: “Beatriz González leads me to reflect on the question of neutrality.</w:t>
      </w:r>
      <w:r w:rsidRPr="00FC4ECF">
        <w:rPr>
          <w:b/>
          <w:bCs/>
          <w:lang w:val="en-US"/>
        </w:rPr>
        <w:t> Cultural spaces shape memory, knowledge, and imagination</w:t>
      </w:r>
      <w:r w:rsidRPr="00FC4ECF">
        <w:rPr>
          <w:lang w:val="en-US"/>
        </w:rPr>
        <w:t xml:space="preserve">. Their legacy </w:t>
      </w:r>
      <w:r w:rsidRPr="00FC4ECF">
        <w:rPr>
          <w:lang w:val="en-US"/>
        </w:rPr>
        <w:lastRenderedPageBreak/>
        <w:t>lies not only in exhibition, but also in the narratives they construct about who we are and how we relate to one another.”</w:t>
      </w:r>
    </w:p>
    <w:p w14:paraId="4201E108" w14:textId="77777777" w:rsidR="00113F6E" w:rsidRPr="00FC4ECF" w:rsidRDefault="00113F6E" w:rsidP="00FC4ECF">
      <w:pPr>
        <w:jc w:val="both"/>
        <w:rPr>
          <w:lang w:val="en-US"/>
        </w:rPr>
      </w:pPr>
    </w:p>
    <w:p w14:paraId="1209D7A3" w14:textId="686B23BE" w:rsidR="00FC4ECF" w:rsidRDefault="00FC4ECF" w:rsidP="00FC4ECF">
      <w:pPr>
        <w:jc w:val="both"/>
        <w:rPr>
          <w:lang w:val="en-US"/>
        </w:rPr>
      </w:pPr>
      <w:r w:rsidRPr="00FC4ECF">
        <w:rPr>
          <w:lang w:val="en-US"/>
        </w:rPr>
        <w:t>This conversation forms part of the</w:t>
      </w:r>
      <w:r w:rsidRPr="00FC4ECF">
        <w:rPr>
          <w:b/>
          <w:bCs/>
          <w:lang w:val="en-US"/>
        </w:rPr>
        <w:t> cultural diplomacy strategy of the Government of Colombia</w:t>
      </w:r>
      <w:r w:rsidRPr="00FC4ECF">
        <w:rPr>
          <w:lang w:val="en-US"/>
        </w:rPr>
        <w:t>, which seeks to open spaces to address issues that are otherwise more difficult to confront. And what better way to do so</w:t>
      </w:r>
      <w:r w:rsidR="00D35B32">
        <w:rPr>
          <w:lang w:val="en-US"/>
        </w:rPr>
        <w:t>,</w:t>
      </w:r>
      <w:r w:rsidRPr="00FC4ECF">
        <w:rPr>
          <w:lang w:val="en-US"/>
        </w:rPr>
        <w:t xml:space="preserve"> </w:t>
      </w:r>
      <w:proofErr w:type="gramStart"/>
      <w:r w:rsidR="00D35B32">
        <w:rPr>
          <w:lang w:val="en-US"/>
        </w:rPr>
        <w:t>as</w:t>
      </w:r>
      <w:proofErr w:type="gramEnd"/>
      <w:r w:rsidRPr="00FC4ECF">
        <w:rPr>
          <w:lang w:val="en-US"/>
        </w:rPr>
        <w:t xml:space="preserve"> talking about art—or, even better, through art.</w:t>
      </w:r>
    </w:p>
    <w:p w14:paraId="1ACD941F" w14:textId="77777777" w:rsidR="00113F6E" w:rsidRPr="00FC4ECF" w:rsidRDefault="00113F6E" w:rsidP="00FC4ECF">
      <w:pPr>
        <w:jc w:val="both"/>
        <w:rPr>
          <w:lang w:val="en-US"/>
        </w:rPr>
      </w:pPr>
    </w:p>
    <w:p w14:paraId="2A22EEE1" w14:textId="77777777" w:rsidR="00FC4ECF" w:rsidRPr="00113F6E" w:rsidRDefault="00FC4ECF" w:rsidP="00DA6095">
      <w:pPr>
        <w:jc w:val="both"/>
        <w:rPr>
          <w:lang w:val="en-US"/>
        </w:rPr>
      </w:pPr>
    </w:p>
    <w:sectPr w:rsidR="00FC4ECF" w:rsidRPr="00113F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F7C8A" w14:textId="77777777" w:rsidR="00E535C3" w:rsidRDefault="00E535C3" w:rsidP="00AD264E">
      <w:r>
        <w:separator/>
      </w:r>
    </w:p>
  </w:endnote>
  <w:endnote w:type="continuationSeparator" w:id="0">
    <w:p w14:paraId="73F87884" w14:textId="77777777" w:rsidR="00E535C3" w:rsidRDefault="00E535C3" w:rsidP="00AD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D19BC" w14:textId="77777777" w:rsidR="00E535C3" w:rsidRDefault="00E535C3" w:rsidP="00AD264E">
      <w:r>
        <w:separator/>
      </w:r>
    </w:p>
  </w:footnote>
  <w:footnote w:type="continuationSeparator" w:id="0">
    <w:p w14:paraId="7215F30B" w14:textId="77777777" w:rsidR="00E535C3" w:rsidRDefault="00E535C3" w:rsidP="00AD26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64E"/>
    <w:rsid w:val="00107D32"/>
    <w:rsid w:val="00113F6E"/>
    <w:rsid w:val="001A216A"/>
    <w:rsid w:val="002000BF"/>
    <w:rsid w:val="002D279B"/>
    <w:rsid w:val="00332238"/>
    <w:rsid w:val="00412499"/>
    <w:rsid w:val="00482343"/>
    <w:rsid w:val="0057588D"/>
    <w:rsid w:val="006524A0"/>
    <w:rsid w:val="006B5161"/>
    <w:rsid w:val="006D7262"/>
    <w:rsid w:val="0076210A"/>
    <w:rsid w:val="007855C0"/>
    <w:rsid w:val="007F7971"/>
    <w:rsid w:val="008448A3"/>
    <w:rsid w:val="00881D31"/>
    <w:rsid w:val="008966F4"/>
    <w:rsid w:val="008E7E55"/>
    <w:rsid w:val="00A45BCF"/>
    <w:rsid w:val="00A5373C"/>
    <w:rsid w:val="00AD264E"/>
    <w:rsid w:val="00B7493F"/>
    <w:rsid w:val="00D35B32"/>
    <w:rsid w:val="00DA6095"/>
    <w:rsid w:val="00E535C3"/>
    <w:rsid w:val="00E62418"/>
    <w:rsid w:val="00F332F8"/>
    <w:rsid w:val="00F52861"/>
    <w:rsid w:val="00FC4E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55C6"/>
  <w15:chartTrackingRefBased/>
  <w15:docId w15:val="{6DA55033-DF2F-744D-BA21-5253C034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D26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D2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D264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D264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D264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D264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D264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D264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D264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26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D26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D264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D264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D264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D264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D264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D264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D264E"/>
    <w:rPr>
      <w:rFonts w:eastAsiaTheme="majorEastAsia" w:cstheme="majorBidi"/>
      <w:color w:val="272727" w:themeColor="text1" w:themeTint="D8"/>
    </w:rPr>
  </w:style>
  <w:style w:type="paragraph" w:styleId="Ttulo">
    <w:name w:val="Title"/>
    <w:basedOn w:val="Normal"/>
    <w:next w:val="Normal"/>
    <w:link w:val="TtuloCar"/>
    <w:uiPriority w:val="10"/>
    <w:qFormat/>
    <w:rsid w:val="00AD264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D264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D264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D264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D264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D264E"/>
    <w:rPr>
      <w:i/>
      <w:iCs/>
      <w:color w:val="404040" w:themeColor="text1" w:themeTint="BF"/>
    </w:rPr>
  </w:style>
  <w:style w:type="paragraph" w:styleId="Prrafodelista">
    <w:name w:val="List Paragraph"/>
    <w:basedOn w:val="Normal"/>
    <w:uiPriority w:val="34"/>
    <w:qFormat/>
    <w:rsid w:val="00AD264E"/>
    <w:pPr>
      <w:ind w:left="720"/>
      <w:contextualSpacing/>
    </w:pPr>
  </w:style>
  <w:style w:type="character" w:styleId="nfasisintenso">
    <w:name w:val="Intense Emphasis"/>
    <w:basedOn w:val="Fuentedeprrafopredeter"/>
    <w:uiPriority w:val="21"/>
    <w:qFormat/>
    <w:rsid w:val="00AD264E"/>
    <w:rPr>
      <w:i/>
      <w:iCs/>
      <w:color w:val="0F4761" w:themeColor="accent1" w:themeShade="BF"/>
    </w:rPr>
  </w:style>
  <w:style w:type="paragraph" w:styleId="Citadestacada">
    <w:name w:val="Intense Quote"/>
    <w:basedOn w:val="Normal"/>
    <w:next w:val="Normal"/>
    <w:link w:val="CitadestacadaCar"/>
    <w:uiPriority w:val="30"/>
    <w:qFormat/>
    <w:rsid w:val="00AD26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D264E"/>
    <w:rPr>
      <w:i/>
      <w:iCs/>
      <w:color w:val="0F4761" w:themeColor="accent1" w:themeShade="BF"/>
    </w:rPr>
  </w:style>
  <w:style w:type="character" w:styleId="Referenciaintensa">
    <w:name w:val="Intense Reference"/>
    <w:basedOn w:val="Fuentedeprrafopredeter"/>
    <w:uiPriority w:val="32"/>
    <w:qFormat/>
    <w:rsid w:val="00AD264E"/>
    <w:rPr>
      <w:b/>
      <w:bCs/>
      <w:smallCaps/>
      <w:color w:val="0F4761" w:themeColor="accent1" w:themeShade="BF"/>
      <w:spacing w:val="5"/>
    </w:rPr>
  </w:style>
  <w:style w:type="paragraph" w:styleId="NormalWeb">
    <w:name w:val="Normal (Web)"/>
    <w:basedOn w:val="Normal"/>
    <w:uiPriority w:val="99"/>
    <w:semiHidden/>
    <w:unhideWhenUsed/>
    <w:rsid w:val="00AD264E"/>
    <w:pPr>
      <w:spacing w:before="100" w:beforeAutospacing="1" w:after="100" w:afterAutospacing="1"/>
    </w:pPr>
    <w:rPr>
      <w:rFonts w:ascii="Times New Roman" w:eastAsia="Times New Roman" w:hAnsi="Times New Roman" w:cs="Times New Roman"/>
      <w:kern w:val="0"/>
      <w:lang w:eastAsia="it-IT"/>
      <w14:ligatures w14:val="none"/>
    </w:rPr>
  </w:style>
  <w:style w:type="paragraph" w:styleId="Encabezado">
    <w:name w:val="header"/>
    <w:basedOn w:val="Normal"/>
    <w:link w:val="EncabezadoCar"/>
    <w:uiPriority w:val="99"/>
    <w:unhideWhenUsed/>
    <w:rsid w:val="00AD264E"/>
    <w:pPr>
      <w:tabs>
        <w:tab w:val="center" w:pos="4513"/>
        <w:tab w:val="right" w:pos="9026"/>
      </w:tabs>
    </w:pPr>
  </w:style>
  <w:style w:type="character" w:customStyle="1" w:styleId="EncabezadoCar">
    <w:name w:val="Encabezado Car"/>
    <w:basedOn w:val="Fuentedeprrafopredeter"/>
    <w:link w:val="Encabezado"/>
    <w:uiPriority w:val="99"/>
    <w:rsid w:val="00AD264E"/>
  </w:style>
  <w:style w:type="paragraph" w:styleId="Piedepgina">
    <w:name w:val="footer"/>
    <w:basedOn w:val="Normal"/>
    <w:link w:val="PiedepginaCar"/>
    <w:uiPriority w:val="99"/>
    <w:unhideWhenUsed/>
    <w:rsid w:val="00AD264E"/>
    <w:pPr>
      <w:tabs>
        <w:tab w:val="center" w:pos="4513"/>
        <w:tab w:val="right" w:pos="9026"/>
      </w:tabs>
    </w:pPr>
  </w:style>
  <w:style w:type="character" w:customStyle="1" w:styleId="PiedepginaCar">
    <w:name w:val="Pie de página Car"/>
    <w:basedOn w:val="Fuentedeprrafopredeter"/>
    <w:link w:val="Piedepgina"/>
    <w:uiPriority w:val="99"/>
    <w:rsid w:val="00AD2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653</Words>
  <Characters>3523</Characters>
  <Application>Microsoft Office Word</Application>
  <DocSecurity>0</DocSecurity>
  <Lines>74</Lines>
  <Paragraphs>10</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Oscar Bonilla Branner</dc:creator>
  <cp:keywords/>
  <dc:description/>
  <cp:lastModifiedBy>CARLOS DAVID GONZALEZ MOLINA</cp:lastModifiedBy>
  <cp:revision>4</cp:revision>
  <dcterms:created xsi:type="dcterms:W3CDTF">2026-04-09T21:04:00Z</dcterms:created>
  <dcterms:modified xsi:type="dcterms:W3CDTF">2026-04-09T21:53:00Z</dcterms:modified>
</cp:coreProperties>
</file>